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6D38" w14:textId="5A5E5A3F" w:rsidR="002218FD" w:rsidRPr="00074908" w:rsidRDefault="0046487A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2218FD" w:rsidRPr="00074908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2218FD">
        <w:rPr>
          <w:rFonts w:ascii="Arial" w:hAnsi="Arial" w:cs="Arial"/>
          <w:bCs/>
          <w:spacing w:val="-3"/>
          <w:sz w:val="22"/>
          <w:szCs w:val="22"/>
        </w:rPr>
        <w:t xml:space="preserve">Agriculture and </w:t>
      </w:r>
      <w:r w:rsidR="00A940C9">
        <w:rPr>
          <w:rFonts w:ascii="Arial" w:hAnsi="Arial" w:cs="Arial"/>
          <w:bCs/>
          <w:spacing w:val="-3"/>
          <w:sz w:val="22"/>
          <w:szCs w:val="22"/>
        </w:rPr>
        <w:t>Other</w:t>
      </w:r>
      <w:r w:rsidR="002218FD">
        <w:rPr>
          <w:rFonts w:ascii="Arial" w:hAnsi="Arial" w:cs="Arial"/>
          <w:bCs/>
          <w:spacing w:val="-3"/>
          <w:sz w:val="22"/>
          <w:szCs w:val="22"/>
        </w:rPr>
        <w:t xml:space="preserve"> Legislation Amendment Bill 201</w:t>
      </w:r>
      <w:r w:rsidR="00A940C9">
        <w:rPr>
          <w:rFonts w:ascii="Arial" w:hAnsi="Arial" w:cs="Arial"/>
          <w:bCs/>
          <w:spacing w:val="-3"/>
          <w:sz w:val="22"/>
          <w:szCs w:val="22"/>
        </w:rPr>
        <w:t>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1D1C5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E6AAF">
        <w:rPr>
          <w:rFonts w:ascii="Arial" w:hAnsi="Arial" w:cs="Arial"/>
          <w:bCs/>
          <w:spacing w:val="-3"/>
          <w:sz w:val="22"/>
          <w:szCs w:val="22"/>
        </w:rPr>
        <w:t>Bill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EE6AA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D10ED" w:rsidRPr="002D10ED">
        <w:rPr>
          <w:rFonts w:ascii="Arial" w:hAnsi="Arial" w:cs="Arial"/>
          <w:bCs/>
          <w:spacing w:val="-3"/>
          <w:sz w:val="22"/>
          <w:szCs w:val="22"/>
        </w:rPr>
        <w:t>was introduced into the Legislative Assembly on 22 August 2019</w:t>
      </w:r>
      <w:r w:rsidR="002D10E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CBD1DB6" w14:textId="34D60C82" w:rsidR="002D10ED" w:rsidRDefault="002D10ED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10ED">
        <w:rPr>
          <w:rFonts w:ascii="Arial" w:hAnsi="Arial" w:cs="Arial"/>
          <w:bCs/>
          <w:spacing w:val="-3"/>
          <w:sz w:val="22"/>
          <w:szCs w:val="22"/>
        </w:rPr>
        <w:t>Clause 132</w:t>
      </w:r>
      <w:r w:rsidR="001D1C5A">
        <w:rPr>
          <w:rFonts w:ascii="Arial" w:hAnsi="Arial" w:cs="Arial"/>
          <w:bCs/>
          <w:spacing w:val="-3"/>
          <w:sz w:val="22"/>
          <w:szCs w:val="22"/>
        </w:rPr>
        <w:t xml:space="preserve"> of the Bill</w:t>
      </w:r>
      <w:r w:rsidRPr="002D10ED">
        <w:rPr>
          <w:rFonts w:ascii="Arial" w:hAnsi="Arial" w:cs="Arial"/>
          <w:bCs/>
          <w:spacing w:val="-3"/>
          <w:sz w:val="22"/>
          <w:szCs w:val="22"/>
        </w:rPr>
        <w:t xml:space="preserve"> amends section 10A of the </w:t>
      </w:r>
      <w:r w:rsidRPr="002D10ED">
        <w:rPr>
          <w:rFonts w:ascii="Arial" w:hAnsi="Arial" w:cs="Arial"/>
          <w:bCs/>
          <w:i/>
          <w:spacing w:val="-3"/>
          <w:sz w:val="22"/>
          <w:szCs w:val="22"/>
        </w:rPr>
        <w:t>Summary Offences Act 2005</w:t>
      </w:r>
      <w:r w:rsidRPr="002D10ED">
        <w:rPr>
          <w:rFonts w:ascii="Arial" w:hAnsi="Arial" w:cs="Arial"/>
          <w:bCs/>
          <w:spacing w:val="-3"/>
          <w:sz w:val="22"/>
          <w:szCs w:val="22"/>
        </w:rPr>
        <w:t xml:space="preserve"> to provide (broadly) that a gathering of three or more people on such used for specified purposes is unlawful if the conduct of the gathered persons, taken together, would cause a person in the vicinity to believe, on reasonable grounds, that the conduct is likely to cause economic loss to a business conducted on the land or poses a risk to the safety of any person or food, or a risk to animal welfare or biosecurity.</w:t>
      </w:r>
    </w:p>
    <w:p w14:paraId="086EFD73" w14:textId="125576B7" w:rsidR="0080563C" w:rsidRPr="00F93E2E" w:rsidRDefault="00A438AA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Amendments to c</w:t>
      </w:r>
      <w:r w:rsid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lause 132 </w:t>
      </w:r>
      <w:r w:rsidR="008D4C6A">
        <w:rPr>
          <w:rFonts w:ascii="Arial" w:hAnsi="Arial" w:cs="Arial"/>
          <w:bCs/>
          <w:iCs/>
          <w:spacing w:val="-3"/>
          <w:sz w:val="22"/>
          <w:szCs w:val="22"/>
        </w:rPr>
        <w:t>are proposed so that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it is not 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broader than necessary to achieve its intent, </w:t>
      </w:r>
      <w:r>
        <w:rPr>
          <w:rFonts w:ascii="Arial" w:hAnsi="Arial" w:cs="Arial"/>
          <w:bCs/>
          <w:iCs/>
          <w:spacing w:val="-3"/>
          <w:sz w:val="22"/>
          <w:szCs w:val="22"/>
        </w:rPr>
        <w:t>including to ensure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 it does not extend beyond conduct which is already unlawful and </w:t>
      </w:r>
      <w:r w:rsidR="008D4C6A">
        <w:rPr>
          <w:rFonts w:ascii="Arial" w:hAnsi="Arial" w:cs="Arial"/>
          <w:bCs/>
          <w:iCs/>
          <w:spacing w:val="-3"/>
          <w:sz w:val="22"/>
          <w:szCs w:val="22"/>
        </w:rPr>
        <w:t xml:space="preserve">which </w:t>
      </w:r>
      <w:r w:rsidR="00F93E2E">
        <w:rPr>
          <w:rFonts w:ascii="Arial" w:hAnsi="Arial" w:cs="Arial"/>
          <w:bCs/>
          <w:iCs/>
          <w:spacing w:val="-3"/>
          <w:sz w:val="22"/>
          <w:szCs w:val="22"/>
        </w:rPr>
        <w:t>actually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 disrupts a business or pose</w:t>
      </w:r>
      <w:r w:rsidR="00F93E2E">
        <w:rPr>
          <w:rFonts w:ascii="Arial" w:hAnsi="Arial" w:cs="Arial"/>
          <w:bCs/>
          <w:iCs/>
          <w:spacing w:val="-3"/>
          <w:sz w:val="22"/>
          <w:szCs w:val="22"/>
        </w:rPr>
        <w:t>s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 a risk to the safety of any person or food, or a risk to animal welfare or biosecurity.</w:t>
      </w:r>
    </w:p>
    <w:p w14:paraId="01A7E68E" w14:textId="35C593F9" w:rsidR="00F93E2E" w:rsidRPr="00F93E2E" w:rsidRDefault="001D1C5A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A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mendments </w:t>
      </w:r>
      <w:r w:rsidR="00F93E2E">
        <w:rPr>
          <w:rFonts w:ascii="Arial" w:hAnsi="Arial" w:cs="Arial"/>
          <w:bCs/>
          <w:iCs/>
          <w:spacing w:val="-3"/>
          <w:sz w:val="22"/>
          <w:szCs w:val="22"/>
        </w:rPr>
        <w:t>are also proposed to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 repeal the </w:t>
      </w:r>
      <w:r w:rsidR="00F93E2E" w:rsidRPr="00F93E2E">
        <w:rPr>
          <w:rFonts w:ascii="Arial" w:hAnsi="Arial" w:cs="Arial"/>
          <w:bCs/>
          <w:i/>
          <w:iCs/>
          <w:spacing w:val="-3"/>
          <w:sz w:val="22"/>
          <w:szCs w:val="22"/>
        </w:rPr>
        <w:t>Queensland Agricultural Training Colleges Act 2005</w:t>
      </w:r>
      <w:r w:rsidR="00F93E2E"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="0057321A">
        <w:rPr>
          <w:rFonts w:ascii="Arial" w:hAnsi="Arial" w:cs="Arial"/>
          <w:bCs/>
          <w:iCs/>
          <w:spacing w:val="-3"/>
          <w:sz w:val="22"/>
          <w:szCs w:val="22"/>
        </w:rPr>
        <w:t xml:space="preserve">(the Act) </w:t>
      </w:r>
      <w:r w:rsidR="00F93E2E" w:rsidRPr="00F93E2E">
        <w:rPr>
          <w:rFonts w:ascii="Arial" w:hAnsi="Arial" w:cs="Arial"/>
          <w:bCs/>
          <w:iCs/>
          <w:spacing w:val="-3"/>
          <w:sz w:val="22"/>
          <w:szCs w:val="22"/>
        </w:rPr>
        <w:t>and make necessary provision for its assets, liabilities and other consequential matters.</w:t>
      </w:r>
    </w:p>
    <w:p w14:paraId="59F051B8" w14:textId="78B56BCD" w:rsidR="00201BFF" w:rsidRPr="00201BFF" w:rsidRDefault="000D795F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Pr="00F93E2E">
        <w:rPr>
          <w:rFonts w:ascii="Arial" w:hAnsi="Arial" w:cs="Arial"/>
          <w:bCs/>
          <w:spacing w:val="-3"/>
          <w:sz w:val="22"/>
          <w:szCs w:val="22"/>
        </w:rPr>
        <w:t>n December 2018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F93E2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F93E2E" w:rsidRPr="00F93E2E">
        <w:rPr>
          <w:rFonts w:ascii="Arial" w:hAnsi="Arial" w:cs="Arial"/>
          <w:bCs/>
          <w:spacing w:val="-3"/>
          <w:sz w:val="22"/>
          <w:szCs w:val="22"/>
        </w:rPr>
        <w:t>he Government announced its decision to close the Queensland Agricultural Training Colleges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at the end of 2019</w:t>
      </w:r>
      <w:r w:rsidR="004D17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93E2E" w:rsidRPr="00F93E2E">
        <w:rPr>
          <w:rFonts w:ascii="Arial" w:hAnsi="Arial" w:cs="Arial"/>
          <w:bCs/>
          <w:spacing w:val="-3"/>
          <w:sz w:val="22"/>
          <w:szCs w:val="22"/>
        </w:rPr>
        <w:t xml:space="preserve">and there has been extensive consultation with affected communities on its future. With </w:t>
      </w:r>
      <w:r w:rsidR="00201BFF" w:rsidRPr="00201BFF">
        <w:rPr>
          <w:rFonts w:ascii="Arial" w:hAnsi="Arial" w:cs="Arial"/>
          <w:bCs/>
          <w:spacing w:val="-3"/>
          <w:sz w:val="22"/>
          <w:szCs w:val="22"/>
        </w:rPr>
        <w:t>Queensland Agricultural Training Colleges</w:t>
      </w:r>
      <w:r w:rsidR="00F93E2E" w:rsidRPr="00F93E2E">
        <w:rPr>
          <w:rFonts w:ascii="Arial" w:hAnsi="Arial" w:cs="Arial"/>
          <w:bCs/>
          <w:spacing w:val="-3"/>
          <w:sz w:val="22"/>
          <w:szCs w:val="22"/>
        </w:rPr>
        <w:t xml:space="preserve"> being wound</w:t>
      </w:r>
      <w:r w:rsidR="005732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93E2E" w:rsidRPr="00F93E2E">
        <w:rPr>
          <w:rFonts w:ascii="Arial" w:hAnsi="Arial" w:cs="Arial"/>
          <w:bCs/>
          <w:spacing w:val="-3"/>
          <w:sz w:val="22"/>
          <w:szCs w:val="22"/>
        </w:rPr>
        <w:t>up, it is necessary to repeal the Act and make necessary transitional arrangements.</w:t>
      </w:r>
    </w:p>
    <w:p w14:paraId="05431116" w14:textId="29BEB7B9" w:rsidR="00B718A6" w:rsidRDefault="00B718A6" w:rsidP="00FF5DE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B718A6">
        <w:rPr>
          <w:rFonts w:ascii="Arial" w:hAnsi="Arial" w:cs="Arial"/>
          <w:sz w:val="22"/>
          <w:szCs w:val="22"/>
        </w:rPr>
        <w:t xml:space="preserve"> </w:t>
      </w:r>
      <w:r w:rsidR="002D10ED">
        <w:rPr>
          <w:rFonts w:ascii="Arial" w:hAnsi="Arial" w:cs="Arial"/>
          <w:sz w:val="22"/>
          <w:szCs w:val="22"/>
        </w:rPr>
        <w:t>amendments</w:t>
      </w:r>
      <w:r w:rsidR="0057321A">
        <w:rPr>
          <w:rFonts w:ascii="Arial" w:hAnsi="Arial" w:cs="Arial"/>
          <w:sz w:val="22"/>
          <w:szCs w:val="22"/>
        </w:rPr>
        <w:t xml:space="preserve"> be moved during consideration in detail of</w:t>
      </w:r>
      <w:r w:rsidR="001D1C5A">
        <w:rPr>
          <w:rFonts w:ascii="Arial" w:hAnsi="Arial" w:cs="Arial"/>
          <w:sz w:val="22"/>
          <w:szCs w:val="22"/>
        </w:rPr>
        <w:t xml:space="preserve"> the </w:t>
      </w:r>
      <w:r w:rsidR="001D1C5A">
        <w:rPr>
          <w:rFonts w:ascii="Arial" w:hAnsi="Arial" w:cs="Arial"/>
          <w:bCs/>
          <w:spacing w:val="-3"/>
          <w:sz w:val="22"/>
          <w:szCs w:val="22"/>
        </w:rPr>
        <w:t>Agriculture and Other Legislation Amendment Bill 2019</w:t>
      </w:r>
      <w:r w:rsidR="002D10ED">
        <w:rPr>
          <w:rFonts w:ascii="Arial" w:hAnsi="Arial" w:cs="Arial"/>
          <w:sz w:val="22"/>
          <w:szCs w:val="22"/>
        </w:rPr>
        <w:t xml:space="preserve"> to </w:t>
      </w:r>
      <w:r w:rsidR="0057321A">
        <w:rPr>
          <w:rFonts w:ascii="Arial" w:hAnsi="Arial" w:cs="Arial"/>
          <w:sz w:val="22"/>
          <w:szCs w:val="22"/>
        </w:rPr>
        <w:t xml:space="preserve">amend </w:t>
      </w:r>
      <w:r w:rsidR="002D10ED">
        <w:rPr>
          <w:rFonts w:ascii="Arial" w:hAnsi="Arial" w:cs="Arial"/>
          <w:sz w:val="22"/>
          <w:szCs w:val="22"/>
        </w:rPr>
        <w:t>clause 132</w:t>
      </w:r>
      <w:r w:rsidRPr="00B718A6">
        <w:rPr>
          <w:rFonts w:ascii="Arial" w:hAnsi="Arial" w:cs="Arial"/>
          <w:sz w:val="22"/>
          <w:szCs w:val="22"/>
        </w:rPr>
        <w:t xml:space="preserve"> </w:t>
      </w:r>
      <w:r w:rsidR="002D10ED">
        <w:rPr>
          <w:rFonts w:ascii="Arial" w:hAnsi="Arial" w:cs="Arial"/>
          <w:bCs/>
          <w:spacing w:val="-3"/>
          <w:sz w:val="22"/>
          <w:szCs w:val="22"/>
        </w:rPr>
        <w:t>and to repeal</w:t>
      </w:r>
      <w:r w:rsidR="002D10ED" w:rsidRPr="002D10ED">
        <w:t xml:space="preserve"> </w:t>
      </w:r>
      <w:r w:rsidR="002D10ED">
        <w:t xml:space="preserve">the </w:t>
      </w:r>
      <w:r w:rsidR="002D10ED" w:rsidRPr="002D10ED">
        <w:rPr>
          <w:rFonts w:ascii="Arial" w:hAnsi="Arial" w:cs="Arial"/>
          <w:bCs/>
          <w:i/>
          <w:spacing w:val="-3"/>
          <w:sz w:val="22"/>
          <w:szCs w:val="22"/>
        </w:rPr>
        <w:t>Queensland Agricultural Training Colleges Act 2005</w:t>
      </w:r>
      <w:r w:rsidR="0057321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7655A22" w14:textId="2C2BB842" w:rsidR="000D795F" w:rsidRPr="000D795F" w:rsidRDefault="000D795F" w:rsidP="00FF5DE2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D795F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66DDB9F" w14:textId="32325174" w:rsidR="000D795F" w:rsidRPr="004D17EA" w:rsidRDefault="00A30964" w:rsidP="00FF5DE2">
      <w:pPr>
        <w:pStyle w:val="ListParagraph"/>
        <w:keepLines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hyperlink r:id="rId10" w:history="1">
        <w:r w:rsidR="000D795F" w:rsidRPr="00FB6171">
          <w:rPr>
            <w:rStyle w:val="Hyperlink"/>
            <w:rFonts w:ascii="Arial" w:hAnsi="Arial" w:cs="Arial"/>
            <w:bCs/>
            <w:iCs/>
            <w:spacing w:val="-3"/>
            <w:sz w:val="22"/>
            <w:szCs w:val="22"/>
          </w:rPr>
          <w:t>Amendments to be moved during consideration in detail</w:t>
        </w:r>
      </w:hyperlink>
    </w:p>
    <w:p w14:paraId="08AF7CE7" w14:textId="560AF16F" w:rsidR="000D795F" w:rsidRDefault="00A30964" w:rsidP="00FF5DE2">
      <w:pPr>
        <w:pStyle w:val="ListParagraph"/>
        <w:keepLines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hyperlink r:id="rId11" w:history="1">
        <w:r w:rsidR="000D795F" w:rsidRPr="00FB6171">
          <w:rPr>
            <w:rStyle w:val="Hyperlink"/>
            <w:rFonts w:ascii="Arial" w:hAnsi="Arial" w:cs="Arial"/>
            <w:bCs/>
            <w:iCs/>
            <w:spacing w:val="-3"/>
            <w:sz w:val="22"/>
            <w:szCs w:val="22"/>
          </w:rPr>
          <w:t>Explanatory Notes</w:t>
        </w:r>
      </w:hyperlink>
    </w:p>
    <w:p w14:paraId="0385B0BC" w14:textId="198DD167" w:rsidR="006B7FE3" w:rsidRPr="004D17EA" w:rsidRDefault="00A30964" w:rsidP="00FF5DE2">
      <w:pPr>
        <w:pStyle w:val="ListParagraph"/>
        <w:keepLines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hyperlink r:id="rId12" w:history="1">
        <w:r w:rsidR="006B7FE3" w:rsidRPr="00FB6171">
          <w:rPr>
            <w:rStyle w:val="Hyperlink"/>
            <w:rFonts w:ascii="Arial" w:hAnsi="Arial" w:cs="Arial"/>
            <w:bCs/>
            <w:iCs/>
            <w:spacing w:val="-3"/>
            <w:sz w:val="22"/>
            <w:szCs w:val="22"/>
          </w:rPr>
          <w:t>Human Rights Statement of Compatibility</w:t>
        </w:r>
      </w:hyperlink>
    </w:p>
    <w:sectPr w:rsidR="006B7FE3" w:rsidRPr="004D17EA" w:rsidSect="00C02D79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F0C3" w14:textId="77777777" w:rsidR="00BF5914" w:rsidRDefault="00BF5914" w:rsidP="00D6589B">
      <w:r>
        <w:separator/>
      </w:r>
    </w:p>
  </w:endnote>
  <w:endnote w:type="continuationSeparator" w:id="0">
    <w:p w14:paraId="7137ED7A" w14:textId="77777777" w:rsidR="00BF5914" w:rsidRDefault="00BF5914" w:rsidP="00D6589B">
      <w:r>
        <w:continuationSeparator/>
      </w:r>
    </w:p>
  </w:endnote>
  <w:endnote w:type="continuationNotice" w:id="1">
    <w:p w14:paraId="1BCB2688" w14:textId="77777777" w:rsidR="00BF5914" w:rsidRDefault="00BF5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EE327" w14:textId="77777777" w:rsidR="00BF5914" w:rsidRDefault="00BF5914" w:rsidP="00D6589B">
      <w:r>
        <w:separator/>
      </w:r>
    </w:p>
  </w:footnote>
  <w:footnote w:type="continuationSeparator" w:id="0">
    <w:p w14:paraId="64F74179" w14:textId="77777777" w:rsidR="00BF5914" w:rsidRDefault="00BF5914" w:rsidP="00D6589B">
      <w:r>
        <w:continuationSeparator/>
      </w:r>
    </w:p>
  </w:footnote>
  <w:footnote w:type="continuationNotice" w:id="1">
    <w:p w14:paraId="61F8374F" w14:textId="77777777" w:rsidR="00BF5914" w:rsidRDefault="00BF5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73FD" w14:textId="77777777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6B99DDC" w14:textId="77777777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E9B872" w14:textId="0DBA23F3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D10ED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3869616A" w14:textId="77777777" w:rsidR="00A83788" w:rsidRPr="00A83788" w:rsidRDefault="00A83788" w:rsidP="00FF5DE2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A83788">
      <w:rPr>
        <w:rFonts w:ascii="Arial" w:hAnsi="Arial" w:cs="Arial"/>
        <w:b/>
        <w:sz w:val="22"/>
        <w:szCs w:val="22"/>
        <w:u w:val="single"/>
      </w:rPr>
      <w:t xml:space="preserve">Repeal of the </w:t>
    </w:r>
    <w:r w:rsidRPr="00A83788">
      <w:rPr>
        <w:rFonts w:ascii="Arial" w:hAnsi="Arial" w:cs="Arial"/>
        <w:b/>
        <w:i/>
        <w:sz w:val="22"/>
        <w:szCs w:val="22"/>
        <w:u w:val="single"/>
      </w:rPr>
      <w:t>Queensland Agricultural Training Colleges Act 2005</w:t>
    </w:r>
    <w:r w:rsidRPr="00A83788">
      <w:rPr>
        <w:rFonts w:ascii="Arial" w:hAnsi="Arial" w:cs="Arial"/>
        <w:b/>
        <w:sz w:val="22"/>
        <w:szCs w:val="22"/>
        <w:u w:val="single"/>
      </w:rPr>
      <w:t xml:space="preserve"> and amendments to the Agriculture and Other Legislation Amendment Bill 2019 to be moved when it is considered in detail</w:t>
    </w:r>
  </w:p>
  <w:p w14:paraId="3176D50F" w14:textId="77777777" w:rsidR="00B718A6" w:rsidRDefault="00B718A6" w:rsidP="00B718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</w:p>
  <w:p w14:paraId="3CF48032" w14:textId="77777777" w:rsidR="00C46620" w:rsidRDefault="00C4662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DEA"/>
    <w:multiLevelType w:val="hybridMultilevel"/>
    <w:tmpl w:val="8CE21FFE"/>
    <w:lvl w:ilvl="0" w:tplc="2F1CD02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44D1D"/>
    <w:multiLevelType w:val="hybridMultilevel"/>
    <w:tmpl w:val="01F2DFBA"/>
    <w:lvl w:ilvl="0" w:tplc="2F1CD02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E01C0B"/>
    <w:multiLevelType w:val="multilevel"/>
    <w:tmpl w:val="2264A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0549F7"/>
    <w:multiLevelType w:val="multilevel"/>
    <w:tmpl w:val="F406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527EA1"/>
    <w:multiLevelType w:val="hybridMultilevel"/>
    <w:tmpl w:val="57A826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20F97"/>
    <w:multiLevelType w:val="hybridMultilevel"/>
    <w:tmpl w:val="9F12E50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1721AB"/>
    <w:multiLevelType w:val="hybridMultilevel"/>
    <w:tmpl w:val="97925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6D4"/>
    <w:multiLevelType w:val="multilevel"/>
    <w:tmpl w:val="75501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E45FC0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85C02"/>
    <w:multiLevelType w:val="hybridMultilevel"/>
    <w:tmpl w:val="EBB2B58E"/>
    <w:lvl w:ilvl="0" w:tplc="A35A31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52B0B932"/>
    <w:lvl w:ilvl="0" w:tplc="C0980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2B56D720">
      <w:start w:val="1"/>
      <w:numFmt w:val="lowerLetter"/>
      <w:lvlText w:val="(%2)"/>
      <w:lvlJc w:val="left"/>
      <w:pPr>
        <w:tabs>
          <w:tab w:val="num" w:pos="714"/>
        </w:tabs>
        <w:ind w:left="714" w:hanging="357"/>
      </w:pPr>
      <w:rPr>
        <w:rFonts w:cs="Times New Roman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128A"/>
    <w:rsid w:val="00014CBD"/>
    <w:rsid w:val="000430DD"/>
    <w:rsid w:val="00074908"/>
    <w:rsid w:val="00080F8F"/>
    <w:rsid w:val="00094DB3"/>
    <w:rsid w:val="000B6D99"/>
    <w:rsid w:val="000D795F"/>
    <w:rsid w:val="000E1478"/>
    <w:rsid w:val="000F1514"/>
    <w:rsid w:val="00140936"/>
    <w:rsid w:val="00174117"/>
    <w:rsid w:val="001809B9"/>
    <w:rsid w:val="001978A6"/>
    <w:rsid w:val="001B3837"/>
    <w:rsid w:val="001D1C5A"/>
    <w:rsid w:val="001E209B"/>
    <w:rsid w:val="001F63FB"/>
    <w:rsid w:val="00201BFF"/>
    <w:rsid w:val="002124A8"/>
    <w:rsid w:val="0021344B"/>
    <w:rsid w:val="002218FD"/>
    <w:rsid w:val="00243AB2"/>
    <w:rsid w:val="002654E6"/>
    <w:rsid w:val="002D10ED"/>
    <w:rsid w:val="002E0174"/>
    <w:rsid w:val="002E589E"/>
    <w:rsid w:val="002F7D26"/>
    <w:rsid w:val="00310C1E"/>
    <w:rsid w:val="00370CEE"/>
    <w:rsid w:val="003B5871"/>
    <w:rsid w:val="003D5873"/>
    <w:rsid w:val="004345E3"/>
    <w:rsid w:val="004378E8"/>
    <w:rsid w:val="00447706"/>
    <w:rsid w:val="0046487A"/>
    <w:rsid w:val="00483483"/>
    <w:rsid w:val="004877E6"/>
    <w:rsid w:val="004D17EA"/>
    <w:rsid w:val="004E3AE1"/>
    <w:rsid w:val="00501C66"/>
    <w:rsid w:val="00505A90"/>
    <w:rsid w:val="00507C6B"/>
    <w:rsid w:val="00510BA2"/>
    <w:rsid w:val="00536DEC"/>
    <w:rsid w:val="00542013"/>
    <w:rsid w:val="00550873"/>
    <w:rsid w:val="0057321A"/>
    <w:rsid w:val="005B29EF"/>
    <w:rsid w:val="005C5B90"/>
    <w:rsid w:val="005E1B6B"/>
    <w:rsid w:val="00645B2C"/>
    <w:rsid w:val="00662F6A"/>
    <w:rsid w:val="006B2047"/>
    <w:rsid w:val="006B7FE3"/>
    <w:rsid w:val="006C102F"/>
    <w:rsid w:val="006D7496"/>
    <w:rsid w:val="006E7207"/>
    <w:rsid w:val="007315DC"/>
    <w:rsid w:val="00732C6E"/>
    <w:rsid w:val="00732E22"/>
    <w:rsid w:val="00733DDB"/>
    <w:rsid w:val="00764BA8"/>
    <w:rsid w:val="0076731D"/>
    <w:rsid w:val="007E25F0"/>
    <w:rsid w:val="007E2824"/>
    <w:rsid w:val="0080563C"/>
    <w:rsid w:val="00860E7A"/>
    <w:rsid w:val="008A4523"/>
    <w:rsid w:val="008C1064"/>
    <w:rsid w:val="008C1A67"/>
    <w:rsid w:val="008D44B1"/>
    <w:rsid w:val="008D4C6A"/>
    <w:rsid w:val="008F17F0"/>
    <w:rsid w:val="008F44CD"/>
    <w:rsid w:val="008F6135"/>
    <w:rsid w:val="008F7075"/>
    <w:rsid w:val="00921DA5"/>
    <w:rsid w:val="009A2363"/>
    <w:rsid w:val="009B0651"/>
    <w:rsid w:val="00A133C1"/>
    <w:rsid w:val="00A30964"/>
    <w:rsid w:val="00A438AA"/>
    <w:rsid w:val="00A527A5"/>
    <w:rsid w:val="00A83788"/>
    <w:rsid w:val="00A9198F"/>
    <w:rsid w:val="00A940C9"/>
    <w:rsid w:val="00AD1D67"/>
    <w:rsid w:val="00AD4B54"/>
    <w:rsid w:val="00B179AF"/>
    <w:rsid w:val="00B23CBF"/>
    <w:rsid w:val="00B30493"/>
    <w:rsid w:val="00B46645"/>
    <w:rsid w:val="00B53053"/>
    <w:rsid w:val="00B718A6"/>
    <w:rsid w:val="00B94202"/>
    <w:rsid w:val="00BE40C1"/>
    <w:rsid w:val="00BF0D2A"/>
    <w:rsid w:val="00BF5914"/>
    <w:rsid w:val="00C02D79"/>
    <w:rsid w:val="00C07656"/>
    <w:rsid w:val="00C14C22"/>
    <w:rsid w:val="00C46620"/>
    <w:rsid w:val="00C518BB"/>
    <w:rsid w:val="00C75E67"/>
    <w:rsid w:val="00CB1501"/>
    <w:rsid w:val="00CD739E"/>
    <w:rsid w:val="00CE6FBA"/>
    <w:rsid w:val="00CF0D8A"/>
    <w:rsid w:val="00D03700"/>
    <w:rsid w:val="00D60DA1"/>
    <w:rsid w:val="00D6589B"/>
    <w:rsid w:val="00D75134"/>
    <w:rsid w:val="00DB6FE7"/>
    <w:rsid w:val="00DE61EC"/>
    <w:rsid w:val="00DF7A66"/>
    <w:rsid w:val="00E17F56"/>
    <w:rsid w:val="00E67DF1"/>
    <w:rsid w:val="00EE6AAF"/>
    <w:rsid w:val="00EF2113"/>
    <w:rsid w:val="00F10DF9"/>
    <w:rsid w:val="00F31989"/>
    <w:rsid w:val="00F655F4"/>
    <w:rsid w:val="00F93E2E"/>
    <w:rsid w:val="00FB45F8"/>
    <w:rsid w:val="00FB6171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C9F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C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4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496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96"/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61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1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ACi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5C5CF-30E1-4DD0-AFF6-34B8201D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D3177-AD87-46B4-9C85-E0864019F8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3e311de-a790-43ff-be63-577c26c7507c"/>
    <ds:schemaRef ds:uri="b8ed82f2-f7bd-423c-8698-5e132afe924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A9B3E1-DE0A-49B8-B886-82455A365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301</Words>
  <Characters>1563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1858</CharactersWithSpaces>
  <SharedDoc>false</SharedDoc>
  <HyperlinkBase>https://www.cabinet.qld.gov.au/documents/2019/Sep/AOLA/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11</cp:revision>
  <dcterms:created xsi:type="dcterms:W3CDTF">2020-07-21T04:45:00Z</dcterms:created>
  <dcterms:modified xsi:type="dcterms:W3CDTF">2020-09-10T04:53:00Z</dcterms:modified>
  <cp:category>Legislation,Rural,Primary_Industries,Training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eDOCS AutoSave">
    <vt:lpwstr>20200721151129563</vt:lpwstr>
  </property>
</Properties>
</file>